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5"/>
          <w:szCs w:val="35"/>
        </w:rPr>
      </w:pPr>
      <w:r>
        <w:rPr>
          <w:rFonts w:hint="eastAsia"/>
          <w:b/>
          <w:bCs/>
          <w:sz w:val="35"/>
          <w:szCs w:val="35"/>
        </w:rPr>
        <w:t>浙江工商大学会计学院</w:t>
      </w:r>
    </w:p>
    <w:p>
      <w:pPr>
        <w:jc w:val="center"/>
        <w:rPr>
          <w:rFonts w:hint="eastAsia"/>
          <w:b/>
          <w:bCs/>
          <w:sz w:val="35"/>
          <w:szCs w:val="35"/>
        </w:rPr>
      </w:pPr>
      <w:r>
        <w:rPr>
          <w:rFonts w:hint="eastAsia"/>
          <w:b/>
          <w:bCs/>
          <w:sz w:val="35"/>
          <w:szCs w:val="35"/>
        </w:rPr>
        <w:t>硕士研究生学位论文评审表</w:t>
      </w:r>
    </w:p>
    <w:p>
      <w:pPr>
        <w:jc w:val="center"/>
        <w:rPr>
          <w:rFonts w:hint="eastAsia"/>
          <w:b/>
          <w:bCs/>
          <w:sz w:val="35"/>
          <w:szCs w:val="35"/>
        </w:rPr>
      </w:pPr>
    </w:p>
    <w:tbl>
      <w:tblPr>
        <w:tblStyle w:val="4"/>
        <w:tblW w:w="852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684"/>
        <w:gridCol w:w="1002"/>
        <w:gridCol w:w="1175"/>
        <w:gridCol w:w="922"/>
        <w:gridCol w:w="13"/>
        <w:gridCol w:w="1667"/>
        <w:gridCol w:w="425"/>
        <w:gridCol w:w="380"/>
        <w:gridCol w:w="1063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1" w:type="dxa"/>
            <w:gridSpan w:val="2"/>
          </w:tcPr>
          <w:p>
            <w:pPr>
              <w:spacing w:before="156" w:beforeLines="50" w:after="156" w:afterLines="50"/>
              <w:ind w:firstLine="210" w:firstLineChars="100"/>
              <w:rPr>
                <w:rFonts w:ascii="times" w:hAnsi="times"/>
                <w:szCs w:val="21"/>
              </w:rPr>
            </w:pPr>
            <w:bookmarkStart w:id="0" w:name="_GoBack"/>
            <w:bookmarkEnd w:id="0"/>
            <w:r>
              <w:rPr>
                <w:rFonts w:hint="eastAsia" w:ascii="times" w:hAnsi="times"/>
                <w:szCs w:val="21"/>
              </w:rPr>
              <w:t>姓 名</w:t>
            </w:r>
          </w:p>
        </w:tc>
        <w:tc>
          <w:tcPr>
            <w:tcW w:w="2220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946" w:type="dxa"/>
            <w:gridSpan w:val="2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学 号</w:t>
            </w:r>
          </w:p>
        </w:tc>
        <w:tc>
          <w:tcPr>
            <w:tcW w:w="1693" w:type="dxa"/>
          </w:tcPr>
          <w:p>
            <w:pPr>
              <w:spacing w:before="156" w:beforeLines="50" w:after="156" w:afterLines="50"/>
              <w:jc w:val="center"/>
              <w:rPr>
                <w:rFonts w:ascii="times" w:hAnsi="times"/>
                <w:szCs w:val="21"/>
              </w:rPr>
            </w:pPr>
          </w:p>
        </w:tc>
        <w:tc>
          <w:tcPr>
            <w:tcW w:w="811" w:type="dxa"/>
            <w:gridSpan w:val="2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专 业</w:t>
            </w:r>
          </w:p>
        </w:tc>
        <w:tc>
          <w:tcPr>
            <w:tcW w:w="1747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11" w:type="dxa"/>
            <w:gridSpan w:val="2"/>
          </w:tcPr>
          <w:p>
            <w:pPr>
              <w:spacing w:before="156" w:beforeLines="50"/>
              <w:ind w:firstLine="210" w:firstLineChars="10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论 文</w:t>
            </w:r>
          </w:p>
          <w:p>
            <w:pPr>
              <w:spacing w:before="156" w:beforeLines="50"/>
              <w:ind w:firstLine="210" w:firstLineChars="10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题 目</w:t>
            </w:r>
          </w:p>
        </w:tc>
        <w:tc>
          <w:tcPr>
            <w:tcW w:w="7417" w:type="dxa"/>
            <w:gridSpan w:val="9"/>
          </w:tcPr>
          <w:p>
            <w:pPr>
              <w:widowControl/>
              <w:jc w:val="left"/>
              <w:rPr>
                <w:rFonts w:ascii="times" w:hAnsi="times"/>
                <w:szCs w:val="21"/>
              </w:rPr>
            </w:pPr>
          </w:p>
          <w:p>
            <w:pPr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45" w:type="dxa"/>
          </w:tcPr>
          <w:p>
            <w:pPr>
              <w:spacing w:before="156" w:beforeLines="5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序</w:t>
            </w:r>
          </w:p>
          <w:p>
            <w:pPr>
              <w:spacing w:before="156" w:beforeLines="50"/>
              <w:ind w:left="-15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号</w:t>
            </w:r>
          </w:p>
        </w:tc>
        <w:tc>
          <w:tcPr>
            <w:tcW w:w="566" w:type="dxa"/>
          </w:tcPr>
          <w:p>
            <w:pPr>
              <w:spacing w:before="156" w:beforeLines="5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项</w:t>
            </w:r>
          </w:p>
          <w:p>
            <w:pPr>
              <w:widowControl/>
              <w:spacing w:before="156" w:beforeLines="50"/>
              <w:ind w:firstLine="105" w:firstLineChars="5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目</w:t>
            </w:r>
          </w:p>
        </w:tc>
        <w:tc>
          <w:tcPr>
            <w:tcW w:w="6757" w:type="dxa"/>
            <w:gridSpan w:val="8"/>
          </w:tcPr>
          <w:p>
            <w:pPr>
              <w:widowControl/>
              <w:spacing w:before="312" w:beforeLines="10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评 审 指 标</w:t>
            </w:r>
          </w:p>
        </w:tc>
        <w:tc>
          <w:tcPr>
            <w:tcW w:w="660" w:type="dxa"/>
          </w:tcPr>
          <w:p>
            <w:pPr>
              <w:widowControl/>
              <w:spacing w:before="156" w:beforeLines="5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分</w:t>
            </w:r>
          </w:p>
          <w:p>
            <w:pPr>
              <w:widowControl/>
              <w:spacing w:before="156" w:beforeLines="5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45" w:type="dxa"/>
            <w:vMerge w:val="restart"/>
          </w:tcPr>
          <w:p>
            <w:pPr>
              <w:spacing w:before="1248" w:beforeLines="40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1</w:t>
            </w:r>
          </w:p>
        </w:tc>
        <w:tc>
          <w:tcPr>
            <w:tcW w:w="566" w:type="dxa"/>
            <w:vMerge w:val="restart"/>
          </w:tcPr>
          <w:p>
            <w:pPr>
              <w:widowControl/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 w:after="62" w:afterLines="2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选</w:t>
            </w:r>
          </w:p>
          <w:p>
            <w:pPr>
              <w:spacing w:before="93" w:beforeLines="30" w:after="62" w:afterLines="2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题</w:t>
            </w:r>
          </w:p>
          <w:p>
            <w:pPr>
              <w:widowControl/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(10)</w:t>
            </w:r>
          </w:p>
          <w:p>
            <w:pPr>
              <w:widowControl/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</w:p>
          <w:p>
            <w:pPr>
              <w:widowControl/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widowControl/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选题具有前瞻性，处于本学科前沿领域，研究对象和目标明确，研究的可行性高，或者具有开创性(8-10)</w:t>
            </w:r>
          </w:p>
        </w:tc>
        <w:tc>
          <w:tcPr>
            <w:tcW w:w="660" w:type="dxa"/>
            <w:vMerge w:val="restart"/>
          </w:tcPr>
          <w:p>
            <w:pPr>
              <w:widowControl/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widowControl/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widowControl/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widowControl/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widowControl/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widowControl/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选题具有较大的理论和实践意义，研究对象和目标较明确，研究的可行性较高(6-7)</w:t>
            </w:r>
          </w:p>
        </w:tc>
        <w:tc>
          <w:tcPr>
            <w:tcW w:w="660" w:type="dxa"/>
            <w:vMerge w:val="continue"/>
          </w:tcPr>
          <w:p>
            <w:pPr>
              <w:widowControl/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widowControl/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widowControl/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选题一般，属于本学科的一般性问题，具有一定的研究可行性，理论和实践意义一般（4-6)</w:t>
            </w:r>
          </w:p>
        </w:tc>
        <w:tc>
          <w:tcPr>
            <w:tcW w:w="660" w:type="dxa"/>
            <w:vMerge w:val="continue"/>
          </w:tcPr>
          <w:p>
            <w:pPr>
              <w:widowControl/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widowControl/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widowControl/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选题较差，基本缺乏理论和实践意义，研究可行性较低(1-3)</w:t>
            </w:r>
          </w:p>
        </w:tc>
        <w:tc>
          <w:tcPr>
            <w:tcW w:w="660" w:type="dxa"/>
            <w:vMerge w:val="continue"/>
          </w:tcPr>
          <w:p>
            <w:pPr>
              <w:widowControl/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5" w:type="dxa"/>
            <w:vMerge w:val="restart"/>
          </w:tcPr>
          <w:p>
            <w:pPr>
              <w:spacing w:before="1248" w:beforeLines="40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2</w:t>
            </w:r>
          </w:p>
        </w:tc>
        <w:tc>
          <w:tcPr>
            <w:tcW w:w="566" w:type="dxa"/>
            <w:vMerge w:val="restart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文</w:t>
            </w:r>
          </w:p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献</w:t>
            </w:r>
          </w:p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资</w:t>
            </w:r>
          </w:p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料</w:t>
            </w:r>
          </w:p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(10)</w:t>
            </w: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 w:cs="宋体"/>
                <w:kern w:val="0"/>
                <w:szCs w:val="21"/>
              </w:rPr>
              <w:t>文献资料</w:t>
            </w:r>
            <w:r>
              <w:rPr>
                <w:rFonts w:hint="eastAsia" w:ascii="times" w:hAnsi="times"/>
                <w:szCs w:val="21"/>
              </w:rPr>
              <w:t>翔实、权威，材料</w:t>
            </w:r>
            <w:r>
              <w:rPr>
                <w:rFonts w:hint="eastAsia" w:ascii="times" w:hAnsi="times" w:cs="宋体"/>
                <w:kern w:val="0"/>
                <w:szCs w:val="21"/>
              </w:rPr>
              <w:t>选取客观，综合分析正确，运用恰当，</w:t>
            </w:r>
            <w:r>
              <w:rPr>
                <w:rFonts w:hint="eastAsia" w:ascii="times" w:hAnsi="times"/>
                <w:szCs w:val="21"/>
              </w:rPr>
              <w:t>具备</w:t>
            </w:r>
            <w:r>
              <w:rPr>
                <w:rFonts w:ascii="times" w:hAnsi="times"/>
                <w:szCs w:val="21"/>
              </w:rPr>
              <w:t>分析整理各类信息</w:t>
            </w:r>
            <w:r>
              <w:rPr>
                <w:rFonts w:hint="eastAsia" w:ascii="times" w:hAnsi="times"/>
                <w:szCs w:val="21"/>
              </w:rPr>
              <w:t>并</w:t>
            </w:r>
            <w:r>
              <w:rPr>
                <w:rFonts w:ascii="times" w:hAnsi="times"/>
                <w:szCs w:val="21"/>
              </w:rPr>
              <w:t>从中获取新知识的能力</w:t>
            </w:r>
            <w:r>
              <w:rPr>
                <w:rFonts w:hint="eastAsia" w:ascii="times" w:hAnsi="times"/>
                <w:szCs w:val="21"/>
              </w:rPr>
              <w:t xml:space="preserve"> (8-10)</w:t>
            </w:r>
          </w:p>
        </w:tc>
        <w:tc>
          <w:tcPr>
            <w:tcW w:w="660" w:type="dxa"/>
            <w:vMerge w:val="restart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 w:cs="宋体"/>
                <w:kern w:val="0"/>
                <w:szCs w:val="21"/>
              </w:rPr>
              <w:t>文献资料选取</w:t>
            </w:r>
            <w:r>
              <w:rPr>
                <w:rFonts w:hint="eastAsia" w:ascii="times" w:hAnsi="times"/>
                <w:szCs w:val="21"/>
              </w:rPr>
              <w:t>较为翔实、权威，</w:t>
            </w:r>
            <w:r>
              <w:rPr>
                <w:rFonts w:hint="eastAsia" w:ascii="times" w:hAnsi="times" w:cs="宋体"/>
                <w:kern w:val="0"/>
                <w:szCs w:val="21"/>
              </w:rPr>
              <w:t>运用比较恰当，</w:t>
            </w:r>
            <w:r>
              <w:rPr>
                <w:rFonts w:ascii="times" w:hAnsi="times"/>
                <w:szCs w:val="21"/>
              </w:rPr>
              <w:t>能较好地分析整理各类信息，并提出较合理的实施方案</w:t>
            </w:r>
            <w:r>
              <w:rPr>
                <w:rFonts w:hint="eastAsia" w:ascii="times" w:hAnsi="times"/>
                <w:szCs w:val="21"/>
              </w:rPr>
              <w:t>(6-7)</w:t>
            </w:r>
          </w:p>
        </w:tc>
        <w:tc>
          <w:tcPr>
            <w:tcW w:w="660" w:type="dxa"/>
            <w:vMerge w:val="continue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 w:cs="宋体"/>
                <w:kern w:val="0"/>
                <w:szCs w:val="21"/>
              </w:rPr>
              <w:t>文献资料选取比较合理，能进行综合分析和运用，</w:t>
            </w:r>
            <w:r>
              <w:rPr>
                <w:rFonts w:ascii="times" w:hAnsi="times"/>
                <w:szCs w:val="21"/>
              </w:rPr>
              <w:t>能阅读参考资料、文献，能分析整理各类信息</w:t>
            </w:r>
            <w:r>
              <w:rPr>
                <w:rFonts w:hint="eastAsia" w:ascii="times" w:hAnsi="times"/>
                <w:szCs w:val="21"/>
              </w:rPr>
              <w:t>（4-6)</w:t>
            </w:r>
          </w:p>
        </w:tc>
        <w:tc>
          <w:tcPr>
            <w:tcW w:w="660" w:type="dxa"/>
            <w:vMerge w:val="continue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 w:cs="宋体"/>
                <w:kern w:val="0"/>
                <w:szCs w:val="21"/>
              </w:rPr>
              <w:t>学术调研不充分，文献资料选取欠合理，综合分析和运用不当，</w:t>
            </w:r>
            <w:r>
              <w:rPr>
                <w:rFonts w:ascii="times" w:hAnsi="times"/>
                <w:szCs w:val="21"/>
              </w:rPr>
              <w:t>信息分析整理</w:t>
            </w:r>
            <w:r>
              <w:rPr>
                <w:rFonts w:hint="eastAsia" w:ascii="times" w:hAnsi="times"/>
                <w:szCs w:val="21"/>
              </w:rPr>
              <w:t>较差(1-3)</w:t>
            </w:r>
          </w:p>
        </w:tc>
        <w:tc>
          <w:tcPr>
            <w:tcW w:w="660" w:type="dxa"/>
            <w:vMerge w:val="continue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5" w:type="dxa"/>
            <w:vMerge w:val="restart"/>
          </w:tcPr>
          <w:p>
            <w:pPr>
              <w:spacing w:before="1404" w:beforeLines="45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3</w:t>
            </w:r>
          </w:p>
        </w:tc>
        <w:tc>
          <w:tcPr>
            <w:tcW w:w="566" w:type="dxa"/>
            <w:vMerge w:val="restart"/>
          </w:tcPr>
          <w:p>
            <w:pPr>
              <w:spacing w:before="93" w:beforeLines="30" w:after="62" w:afterLines="20"/>
              <w:jc w:val="center"/>
              <w:rPr>
                <w:rFonts w:ascii="times" w:hAnsi="times"/>
                <w:szCs w:val="21"/>
              </w:rPr>
            </w:pPr>
          </w:p>
          <w:p>
            <w:pPr>
              <w:spacing w:before="93" w:beforeLines="30" w:after="62" w:afterLines="2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分</w:t>
            </w:r>
          </w:p>
          <w:p>
            <w:pPr>
              <w:spacing w:before="93" w:beforeLines="30" w:after="62" w:afterLines="2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析</w:t>
            </w:r>
          </w:p>
          <w:p>
            <w:pPr>
              <w:spacing w:before="93" w:beforeLines="30" w:after="62" w:afterLines="2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论</w:t>
            </w:r>
          </w:p>
          <w:p>
            <w:pPr>
              <w:spacing w:before="93" w:beforeLines="30" w:after="62" w:afterLines="2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证</w:t>
            </w:r>
          </w:p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(20)</w:t>
            </w: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 w:cs="宋体"/>
                <w:kern w:val="0"/>
                <w:szCs w:val="21"/>
              </w:rPr>
              <w:t>论文结构合理，层次清晰，逻辑性强，文字精炼准确，文笔流畅，研究方法新颖</w:t>
            </w:r>
            <w:r>
              <w:rPr>
                <w:rFonts w:hint="eastAsia" w:ascii="times" w:hAnsi="times"/>
                <w:szCs w:val="21"/>
              </w:rPr>
              <w:t>(17-20)</w:t>
            </w:r>
          </w:p>
        </w:tc>
        <w:tc>
          <w:tcPr>
            <w:tcW w:w="660" w:type="dxa"/>
            <w:vMerge w:val="restart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论文结构较为合理，论证较为充分，逻辑性较强，研究方法较为新颖 (14-16)</w:t>
            </w:r>
          </w:p>
        </w:tc>
        <w:tc>
          <w:tcPr>
            <w:tcW w:w="660" w:type="dxa"/>
            <w:vMerge w:val="continue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论文结构和层次基本清晰，没有明显的逻辑错误，</w:t>
            </w:r>
            <w:r>
              <w:rPr>
                <w:rFonts w:hint="eastAsia" w:ascii="times" w:hAnsi="times" w:cs="宋体"/>
                <w:kern w:val="0"/>
                <w:szCs w:val="21"/>
              </w:rPr>
              <w:t>文字表达通顺，</w:t>
            </w:r>
            <w:r>
              <w:rPr>
                <w:rFonts w:hint="eastAsia" w:ascii="times" w:hAnsi="times"/>
                <w:szCs w:val="21"/>
              </w:rPr>
              <w:t>研究方法一般(11-13)</w:t>
            </w:r>
          </w:p>
        </w:tc>
        <w:tc>
          <w:tcPr>
            <w:tcW w:w="660" w:type="dxa"/>
            <w:vMerge w:val="continue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论文结构结构和语言使用较差，逻辑错误明显，</w:t>
            </w:r>
            <w:r>
              <w:rPr>
                <w:rFonts w:hint="eastAsia" w:ascii="times" w:hAnsi="times" w:cs="宋体"/>
                <w:kern w:val="0"/>
                <w:szCs w:val="21"/>
              </w:rPr>
              <w:t>文字表达不通顺，</w:t>
            </w:r>
            <w:r>
              <w:rPr>
                <w:rFonts w:hint="eastAsia" w:ascii="times" w:hAnsi="times"/>
                <w:szCs w:val="21"/>
              </w:rPr>
              <w:t>研究方法较差 (5-10)</w:t>
            </w:r>
          </w:p>
        </w:tc>
        <w:tc>
          <w:tcPr>
            <w:tcW w:w="660" w:type="dxa"/>
            <w:vMerge w:val="continue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restart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4</w:t>
            </w:r>
          </w:p>
        </w:tc>
        <w:tc>
          <w:tcPr>
            <w:tcW w:w="566" w:type="dxa"/>
            <w:vMerge w:val="restart"/>
          </w:tcPr>
          <w:p>
            <w:pPr>
              <w:widowControl/>
              <w:spacing w:before="62" w:beforeLines="20" w:after="62" w:afterLines="20"/>
              <w:jc w:val="left"/>
              <w:rPr>
                <w:rFonts w:ascii="times" w:hAnsi="times"/>
                <w:szCs w:val="21"/>
              </w:rPr>
            </w:pPr>
          </w:p>
          <w:p>
            <w:pPr>
              <w:widowControl/>
              <w:spacing w:before="62" w:beforeLines="2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观</w:t>
            </w:r>
          </w:p>
          <w:p>
            <w:pPr>
              <w:widowControl/>
              <w:spacing w:before="62" w:beforeLines="2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点</w:t>
            </w:r>
          </w:p>
          <w:p>
            <w:pPr>
              <w:widowControl/>
              <w:spacing w:before="62" w:beforeLines="2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内</w:t>
            </w:r>
          </w:p>
          <w:p>
            <w:pPr>
              <w:widowControl/>
              <w:spacing w:before="62" w:beforeLines="2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容</w:t>
            </w:r>
          </w:p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(20)</w:t>
            </w: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论文观点鲜明，独创性强，研究重点突出、明确，概念界定准确，内容深入，有较多新见解 (17-20)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论文观点有一定的独创性，研究重点明确，要领界定比较准，内容比较深入，有新见解(14-16)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观点鲜明性、独创性一般，研究重点比较明确，概念界定清楚，有自己的见解(11-13)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缺乏鲜明的观点或者观点创新性较差，概念界定模糊，缺乏自己的见解(5-10)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restart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5</w:t>
            </w:r>
          </w:p>
        </w:tc>
        <w:tc>
          <w:tcPr>
            <w:tcW w:w="566" w:type="dxa"/>
            <w:vMerge w:val="restart"/>
          </w:tcPr>
          <w:p>
            <w:pPr>
              <w:widowControl/>
              <w:spacing w:before="62" w:beforeLines="20" w:after="62" w:afterLines="20"/>
              <w:jc w:val="left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学术及应用价值</w:t>
            </w:r>
          </w:p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(20)</w:t>
            </w: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研究能立足于实践和现实国情，填补了部分理论研究空白，能够有效解决实践领域或理论研究中的争议问题，具有较大</w:t>
            </w:r>
            <w:r>
              <w:rPr>
                <w:rFonts w:ascii="times" w:hAnsi="times"/>
                <w:szCs w:val="21"/>
              </w:rPr>
              <w:t>的学术价值或应用价值</w:t>
            </w:r>
            <w:r>
              <w:rPr>
                <w:rFonts w:hint="eastAsia" w:ascii="times" w:hAnsi="times"/>
                <w:szCs w:val="21"/>
              </w:rPr>
              <w:t>(17-20)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扩展了相关领域的研究，对解决实践或理论研究的争议问题具有推动意义，</w:t>
            </w:r>
            <w:r>
              <w:rPr>
                <w:rFonts w:ascii="times" w:hAnsi="times"/>
                <w:szCs w:val="21"/>
              </w:rPr>
              <w:t>学术价值或应用价值尚可</w:t>
            </w:r>
            <w:r>
              <w:rPr>
                <w:rFonts w:hint="eastAsia" w:ascii="times" w:hAnsi="times"/>
                <w:szCs w:val="21"/>
              </w:rPr>
              <w:t>(14-16)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对相关领域的研究有</w:t>
            </w:r>
            <w:r>
              <w:rPr>
                <w:rFonts w:ascii="times" w:hAnsi="times"/>
                <w:szCs w:val="21"/>
              </w:rPr>
              <w:t>一定改进</w:t>
            </w:r>
            <w:r>
              <w:rPr>
                <w:rFonts w:hint="eastAsia" w:ascii="times" w:hAnsi="times"/>
                <w:szCs w:val="21"/>
              </w:rPr>
              <w:t>，指出了司法实践或理论研究中存在的问题，充实了相关理论研究(11-13)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研究基本缺乏理论和实践意义，学术价值或应用价值不大(5-10)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restart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rPr>
                <w:rFonts w:hint="eastAsia" w:ascii="times" w:hAnsi="times"/>
                <w:szCs w:val="21"/>
              </w:rPr>
            </w:pPr>
          </w:p>
          <w:p>
            <w:pPr>
              <w:spacing w:before="93" w:beforeLines="30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6</w:t>
            </w:r>
          </w:p>
        </w:tc>
        <w:tc>
          <w:tcPr>
            <w:tcW w:w="566" w:type="dxa"/>
            <w:vMerge w:val="restart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  <w:r>
              <w:rPr>
                <w:rFonts w:ascii="times" w:hAnsi="times"/>
                <w:szCs w:val="21"/>
              </w:rPr>
              <w:t>专业知识</w:t>
            </w:r>
            <w:r>
              <w:rPr>
                <w:rFonts w:hint="eastAsia" w:ascii="times" w:hAnsi="times"/>
                <w:szCs w:val="21"/>
              </w:rPr>
              <w:t>(10)</w:t>
            </w: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专业知识体系牢固，熟练掌握基础理论知识，专业功底扎实(9-10)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 w:cs="宋体"/>
                <w:kern w:val="0"/>
                <w:szCs w:val="21"/>
              </w:rPr>
              <w:t>具备较为牢固的专业知识体系</w:t>
            </w:r>
            <w:r>
              <w:rPr>
                <w:rFonts w:ascii="times" w:hAnsi="times"/>
                <w:szCs w:val="21"/>
              </w:rPr>
              <w:t>，</w:t>
            </w:r>
            <w:r>
              <w:rPr>
                <w:rFonts w:hint="eastAsia" w:ascii="times" w:hAnsi="times"/>
                <w:szCs w:val="21"/>
              </w:rPr>
              <w:t>对本专业基础理论具有较清晰的认识，专业功底较好(7-8)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基本掌握相关研究领域内的知识体系，专业功底一般(4-6)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 w:cs="宋体"/>
                <w:kern w:val="0"/>
                <w:szCs w:val="21"/>
              </w:rPr>
              <w:t>对研究领域的学术发展情况不清楚，基础理论欠缺，</w:t>
            </w:r>
            <w:r>
              <w:rPr>
                <w:rFonts w:hint="eastAsia" w:ascii="times" w:hAnsi="times"/>
                <w:szCs w:val="21"/>
              </w:rPr>
              <w:t>专业功底较差(1-3)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restart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rPr>
                <w:rFonts w:hint="eastAsia"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7</w:t>
            </w:r>
          </w:p>
        </w:tc>
        <w:tc>
          <w:tcPr>
            <w:tcW w:w="566" w:type="dxa"/>
            <w:vMerge w:val="restart"/>
          </w:tcPr>
          <w:p>
            <w:pPr>
              <w:spacing w:before="156" w:beforeLines="50" w:after="62" w:afterLines="20"/>
              <w:jc w:val="center"/>
              <w:rPr>
                <w:rFonts w:ascii="times" w:hAnsi="times"/>
                <w:szCs w:val="21"/>
              </w:rPr>
            </w:pPr>
          </w:p>
          <w:p>
            <w:pPr>
              <w:spacing w:before="156" w:beforeLines="50" w:after="62" w:afterLines="2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规</w:t>
            </w:r>
          </w:p>
          <w:p>
            <w:pPr>
              <w:spacing w:before="156" w:beforeLines="50" w:after="62" w:afterLines="2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范</w:t>
            </w:r>
          </w:p>
          <w:p>
            <w:pPr>
              <w:spacing w:before="156" w:beforeLines="50" w:after="62" w:afterLines="2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要</w:t>
            </w:r>
          </w:p>
          <w:p>
            <w:pPr>
              <w:spacing w:before="156" w:beforeLines="50" w:after="62" w:afterLines="20"/>
              <w:jc w:val="center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求</w:t>
            </w:r>
          </w:p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(10)</w:t>
            </w: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 w:cs="宋体"/>
                <w:kern w:val="0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引证、标题、摘要、参考文献、字数等完全规范要求，文字、符号等使用正确(9-10)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 w:cs="宋体"/>
                <w:kern w:val="0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引证、标题、摘要、参考文献、字数等基本符合规范要求，文字、符号等使用基本正确，或者仅有个别错误(7-8)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 w:cs="宋体"/>
                <w:kern w:val="0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标题、摘要、参考文献、字数等不太符合规范要求，引证偏少、偏多或存在少量假引、错引等问题，文字、符号等使用存在不少错误(4-6)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5" w:type="dxa"/>
            <w:vMerge w:val="continue"/>
          </w:tcPr>
          <w:p>
            <w:pPr>
              <w:spacing w:before="93" w:beforeLines="30"/>
              <w:rPr>
                <w:rFonts w:ascii="times" w:hAnsi="times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before="93" w:beforeLines="30" w:after="62" w:afterLines="20"/>
              <w:rPr>
                <w:rFonts w:ascii="times" w:hAnsi="times"/>
                <w:szCs w:val="21"/>
              </w:rPr>
            </w:pPr>
          </w:p>
        </w:tc>
        <w:tc>
          <w:tcPr>
            <w:tcW w:w="6757" w:type="dxa"/>
            <w:gridSpan w:val="8"/>
          </w:tcPr>
          <w:p>
            <w:pPr>
              <w:spacing w:before="93" w:beforeLines="30" w:after="62" w:afterLines="20"/>
              <w:jc w:val="left"/>
              <w:rPr>
                <w:rFonts w:hint="eastAsia" w:ascii="times" w:hAnsi="times" w:cs="宋体"/>
                <w:kern w:val="0"/>
                <w:szCs w:val="21"/>
              </w:rPr>
            </w:pPr>
            <w:r>
              <w:rPr>
                <w:rFonts w:hint="eastAsia" w:ascii="times" w:hAnsi="times"/>
                <w:szCs w:val="21"/>
              </w:rPr>
              <w:t>标题、摘要、参考文献、字数等基本不符合规范要求，引证缺乏、过多或存在大量假引、错引等问题，文字、符号等使用混乱(1-3)</w:t>
            </w:r>
          </w:p>
        </w:tc>
        <w:tc>
          <w:tcPr>
            <w:tcW w:w="660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32" w:type="dxa"/>
            <w:gridSpan w:val="3"/>
          </w:tcPr>
          <w:p>
            <w:pPr>
              <w:spacing w:before="93" w:beforeLines="30"/>
              <w:jc w:val="left"/>
              <w:rPr>
                <w:rFonts w:ascii="times" w:hAnsi="times"/>
                <w:b/>
                <w:bCs/>
                <w:sz w:val="24"/>
                <w:szCs w:val="24"/>
              </w:rPr>
            </w:pPr>
            <w:r>
              <w:rPr>
                <w:rFonts w:hint="eastAsia" w:ascii="times" w:hAnsi="times"/>
                <w:b/>
                <w:bCs/>
                <w:sz w:val="24"/>
                <w:szCs w:val="24"/>
              </w:rPr>
              <w:t>评阅人签名</w:t>
            </w:r>
          </w:p>
        </w:tc>
        <w:tc>
          <w:tcPr>
            <w:tcW w:w="2132" w:type="dxa"/>
            <w:gridSpan w:val="2"/>
          </w:tcPr>
          <w:p>
            <w:pPr>
              <w:spacing w:before="93" w:beforeLines="30"/>
              <w:jc w:val="left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>
            <w:pPr>
              <w:spacing w:before="93" w:beforeLines="30"/>
              <w:ind w:firstLine="482" w:firstLineChars="200"/>
              <w:jc w:val="left"/>
              <w:rPr>
                <w:rFonts w:hint="eastAsia" w:ascii="times" w:hAnsi="times"/>
                <w:b/>
                <w:bCs/>
                <w:sz w:val="24"/>
                <w:szCs w:val="24"/>
              </w:rPr>
            </w:pPr>
            <w:r>
              <w:rPr>
                <w:rFonts w:hint="eastAsia" w:ascii="times" w:hAnsi="times"/>
                <w:b/>
                <w:bCs/>
                <w:sz w:val="24"/>
                <w:szCs w:val="24"/>
              </w:rPr>
              <w:t>论文成绩</w:t>
            </w:r>
          </w:p>
        </w:tc>
        <w:tc>
          <w:tcPr>
            <w:tcW w:w="2132" w:type="dxa"/>
            <w:gridSpan w:val="3"/>
          </w:tcPr>
          <w:p>
            <w:pPr>
              <w:spacing w:before="93" w:beforeLines="30"/>
              <w:jc w:val="left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" w:hAnsi="times"/>
          <w:szCs w:val="21"/>
        </w:rPr>
      </w:pPr>
    </w:p>
    <w:p>
      <w:pPr>
        <w:rPr>
          <w:rFonts w:hint="eastAsia" w:ascii="times" w:hAnsi="times"/>
          <w:szCs w:val="21"/>
        </w:rPr>
      </w:pPr>
    </w:p>
    <w:p>
      <w:pPr>
        <w:rPr>
          <w:rFonts w:hint="eastAsia" w:ascii="times" w:hAnsi="times"/>
          <w:szCs w:val="21"/>
        </w:rPr>
      </w:pPr>
    </w:p>
    <w:p>
      <w:pPr>
        <w:rPr>
          <w:rFonts w:hint="eastAsia" w:ascii="times" w:hAnsi="times"/>
          <w:szCs w:val="21"/>
        </w:rPr>
      </w:pPr>
    </w:p>
    <w:tbl>
      <w:tblPr>
        <w:tblStyle w:val="4"/>
        <w:tblW w:w="852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8528" w:type="dxa"/>
          </w:tcPr>
          <w:p>
            <w:pPr>
              <w:spacing w:before="93" w:beforeLines="3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hint="eastAsia" w:ascii="times" w:hAnsi="times"/>
                <w:b/>
                <w:bCs/>
                <w:sz w:val="24"/>
                <w:szCs w:val="24"/>
              </w:rPr>
              <w:t>评阅人对论文的学术评语及具体修改意见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8528" w:type="dxa"/>
          </w:tcPr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hint="eastAsia"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hint="eastAsia" w:ascii="times" w:hAnsi="times"/>
                <w:szCs w:val="21"/>
              </w:rPr>
            </w:pPr>
          </w:p>
          <w:p>
            <w:pPr>
              <w:spacing w:before="93" w:beforeLines="30"/>
              <w:ind w:firstLine="5271" w:firstLineChars="2500"/>
              <w:jc w:val="left"/>
              <w:rPr>
                <w:rFonts w:ascii="times" w:hAnsi="times"/>
                <w:b/>
                <w:bCs/>
                <w:szCs w:val="21"/>
              </w:rPr>
            </w:pPr>
            <w:r>
              <w:rPr>
                <w:rFonts w:hint="eastAsia" w:ascii="times" w:hAnsi="times"/>
                <w:b/>
                <w:bCs/>
                <w:szCs w:val="21"/>
              </w:rPr>
              <w:t>评阅人签名：</w:t>
            </w:r>
          </w:p>
          <w:p>
            <w:pPr>
              <w:spacing w:before="93" w:beforeLines="30"/>
              <w:ind w:firstLine="5271" w:firstLineChars="2500"/>
              <w:jc w:val="left"/>
              <w:rPr>
                <w:rFonts w:hint="eastAsia" w:ascii="times" w:hAnsi="times"/>
                <w:b/>
                <w:bCs/>
                <w:szCs w:val="21"/>
              </w:rPr>
            </w:pPr>
            <w:r>
              <w:rPr>
                <w:rFonts w:hint="eastAsia" w:ascii="times" w:hAnsi="times"/>
                <w:b/>
                <w:bCs/>
                <w:szCs w:val="21"/>
              </w:rPr>
              <w:t xml:space="preserve"> </w:t>
            </w:r>
            <w:r>
              <w:rPr>
                <w:rFonts w:ascii="times" w:hAnsi="times"/>
                <w:b/>
                <w:bCs/>
                <w:szCs w:val="21"/>
              </w:rPr>
              <w:t xml:space="preserve">   </w:t>
            </w:r>
            <w:r>
              <w:rPr>
                <w:rFonts w:hint="eastAsia" w:ascii="times" w:hAnsi="times"/>
                <w:b/>
                <w:bCs/>
                <w:szCs w:val="21"/>
              </w:rPr>
              <w:t xml:space="preserve">年 </w:t>
            </w:r>
            <w:r>
              <w:rPr>
                <w:rFonts w:ascii="times" w:hAnsi="times"/>
                <w:b/>
                <w:bCs/>
                <w:szCs w:val="21"/>
              </w:rPr>
              <w:t xml:space="preserve">    </w:t>
            </w:r>
            <w:r>
              <w:rPr>
                <w:rFonts w:hint="eastAsia" w:ascii="times" w:hAnsi="times"/>
                <w:b/>
                <w:bCs/>
                <w:szCs w:val="21"/>
              </w:rPr>
              <w:t xml:space="preserve">月 </w:t>
            </w:r>
            <w:r>
              <w:rPr>
                <w:rFonts w:ascii="times" w:hAnsi="times"/>
                <w:b/>
                <w:bCs/>
                <w:szCs w:val="21"/>
              </w:rPr>
              <w:t xml:space="preserve">    </w:t>
            </w:r>
            <w:r>
              <w:rPr>
                <w:rFonts w:hint="eastAsia" w:ascii="times" w:hAnsi="times"/>
                <w:b/>
                <w:bCs/>
                <w:szCs w:val="21"/>
              </w:rPr>
              <w:t>日</w:t>
            </w:r>
          </w:p>
          <w:p>
            <w:pPr>
              <w:spacing w:before="93" w:beforeLines="30"/>
              <w:jc w:val="left"/>
              <w:rPr>
                <w:rFonts w:hint="eastAsia"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ascii="times" w:hAnsi="times"/>
                <w:szCs w:val="21"/>
              </w:rPr>
            </w:pPr>
          </w:p>
          <w:p>
            <w:pPr>
              <w:spacing w:before="93" w:beforeLines="30"/>
              <w:jc w:val="left"/>
              <w:rPr>
                <w:rFonts w:hint="eastAsia" w:ascii="times" w:hAnsi="times"/>
                <w:szCs w:val="21"/>
              </w:rPr>
            </w:pPr>
          </w:p>
        </w:tc>
      </w:tr>
    </w:tbl>
    <w:p>
      <w:pPr>
        <w:rPr>
          <w:rFonts w:hint="eastAsia" w:ascii="times" w:hAnsi="times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1MTM4M2RlMGNiMThjNzQzYTVhNmRmMjQzYTc0OWMifQ=="/>
  </w:docVars>
  <w:rsids>
    <w:rsidRoot w:val="00C17B47"/>
    <w:rsid w:val="00076667"/>
    <w:rsid w:val="00081049"/>
    <w:rsid w:val="000A5E84"/>
    <w:rsid w:val="000B46B9"/>
    <w:rsid w:val="000B5FD2"/>
    <w:rsid w:val="002A14A9"/>
    <w:rsid w:val="002A5034"/>
    <w:rsid w:val="003404A6"/>
    <w:rsid w:val="00345102"/>
    <w:rsid w:val="0038325D"/>
    <w:rsid w:val="00384F97"/>
    <w:rsid w:val="00390836"/>
    <w:rsid w:val="003B058D"/>
    <w:rsid w:val="003B34D0"/>
    <w:rsid w:val="00454F43"/>
    <w:rsid w:val="00467976"/>
    <w:rsid w:val="00495536"/>
    <w:rsid w:val="004D676E"/>
    <w:rsid w:val="004F0E8B"/>
    <w:rsid w:val="004F4DF3"/>
    <w:rsid w:val="005B1CB9"/>
    <w:rsid w:val="005B3E0D"/>
    <w:rsid w:val="005E20EC"/>
    <w:rsid w:val="00600041"/>
    <w:rsid w:val="00652779"/>
    <w:rsid w:val="00712186"/>
    <w:rsid w:val="00785632"/>
    <w:rsid w:val="007F2605"/>
    <w:rsid w:val="009B48FC"/>
    <w:rsid w:val="00AB274D"/>
    <w:rsid w:val="00AC2A80"/>
    <w:rsid w:val="00B039B8"/>
    <w:rsid w:val="00B571D6"/>
    <w:rsid w:val="00B6689F"/>
    <w:rsid w:val="00B67527"/>
    <w:rsid w:val="00B902A1"/>
    <w:rsid w:val="00BA666B"/>
    <w:rsid w:val="00BC07B1"/>
    <w:rsid w:val="00C17B47"/>
    <w:rsid w:val="00C327CE"/>
    <w:rsid w:val="00C47FDC"/>
    <w:rsid w:val="00CC2CD7"/>
    <w:rsid w:val="00CD6B2E"/>
    <w:rsid w:val="00D0226E"/>
    <w:rsid w:val="00D032D6"/>
    <w:rsid w:val="00D730E2"/>
    <w:rsid w:val="00DD3874"/>
    <w:rsid w:val="00E05D59"/>
    <w:rsid w:val="00FA522D"/>
    <w:rsid w:val="4102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link w:val="3"/>
    <w:semiHidden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1222</Words>
  <Characters>1378</Characters>
  <Lines>11</Lines>
  <Paragraphs>3</Paragraphs>
  <TotalTime>21</TotalTime>
  <ScaleCrop>false</ScaleCrop>
  <LinksUpToDate>false</LinksUpToDate>
  <CharactersWithSpaces>1404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2020-12-04T12:50:00Z</dcterms:created>
  <dc:creator>于</dc:creator>
  <cp:lastModifiedBy>Zero</cp:lastModifiedBy>
  <dcterms:modified xsi:type="dcterms:W3CDTF">2023-07-20T13:07:42Z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A2CB425623884D81BBEA35D6570B9973_12</vt:lpwstr>
  </property>
</Properties>
</file>